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 w:line="360" w:lineRule="exact"/>
        <w:jc w:val="center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30"/>
          <w:szCs w:val="30"/>
        </w:rPr>
        <w:t>专业培训记录</w:t>
      </w:r>
    </w:p>
    <w:p>
      <w:pPr>
        <w:snapToGrid w:val="0"/>
        <w:spacing w:after="120" w:afterLines="50" w:line="320" w:lineRule="exact"/>
        <w:jc w:val="center"/>
        <w:rPr>
          <w:rFonts w:eastAsia="隶书"/>
          <w:b/>
          <w:sz w:val="22"/>
          <w:szCs w:val="22"/>
        </w:rPr>
      </w:pPr>
      <w:bookmarkStart w:id="0" w:name="Q勾选"/>
      <w:bookmarkStart w:id="1" w:name="勾选"/>
      <w:r>
        <w:rPr>
          <w:rFonts w:hint="eastAsia"/>
          <w:b/>
          <w:sz w:val="22"/>
          <w:szCs w:val="22"/>
        </w:rPr>
        <w:t>■</w:t>
      </w:r>
      <w:bookmarkEnd w:id="0"/>
      <w:bookmarkEnd w:id="1"/>
      <w:r>
        <w:rPr>
          <w:b/>
          <w:sz w:val="22"/>
          <w:szCs w:val="22"/>
        </w:rPr>
        <w:t xml:space="preserve">QMS  </w:t>
      </w:r>
      <w:bookmarkStart w:id="2" w:name="E勾选"/>
      <w:r>
        <w:rPr>
          <w:rFonts w:hint="eastAsia"/>
          <w:b/>
          <w:sz w:val="22"/>
          <w:szCs w:val="22"/>
        </w:rPr>
        <w:t>■</w:t>
      </w:r>
      <w:bookmarkEnd w:id="2"/>
      <w:r>
        <w:rPr>
          <w:b/>
          <w:sz w:val="22"/>
          <w:szCs w:val="22"/>
        </w:rPr>
        <w:t xml:space="preserve">EMS  </w:t>
      </w:r>
      <w:bookmarkStart w:id="3" w:name="S勾选"/>
      <w:r>
        <w:rPr>
          <w:rFonts w:hint="eastAsia"/>
          <w:b/>
          <w:sz w:val="22"/>
          <w:szCs w:val="22"/>
        </w:rPr>
        <w:t>■</w:t>
      </w:r>
      <w:bookmarkEnd w:id="3"/>
      <w:r>
        <w:rPr>
          <w:b/>
          <w:sz w:val="22"/>
          <w:szCs w:val="22"/>
        </w:rPr>
        <w:t>OHSMS</w:t>
      </w:r>
    </w:p>
    <w:tbl>
      <w:tblPr>
        <w:tblStyle w:val="8"/>
        <w:tblW w:w="106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340"/>
        <w:gridCol w:w="1828"/>
        <w:gridCol w:w="1520"/>
        <w:gridCol w:w="1430"/>
        <w:gridCol w:w="2267"/>
        <w:gridCol w:w="13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224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受审核方</w:t>
            </w:r>
          </w:p>
        </w:tc>
        <w:tc>
          <w:tcPr>
            <w:tcW w:w="4778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bookmarkStart w:id="4" w:name="组织名称"/>
            <w:r>
              <w:rPr>
                <w:b/>
                <w:sz w:val="20"/>
              </w:rPr>
              <w:t>重庆泓美仪表有限责任公司</w:t>
            </w:r>
            <w:bookmarkEnd w:id="4"/>
          </w:p>
        </w:tc>
        <w:tc>
          <w:tcPr>
            <w:tcW w:w="2267" w:type="dxa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专业小类</w:t>
            </w:r>
            <w:r>
              <w:rPr>
                <w:b/>
                <w:sz w:val="22"/>
                <w:szCs w:val="22"/>
              </w:rPr>
              <w:t>/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项目代码</w:t>
            </w:r>
          </w:p>
        </w:tc>
        <w:tc>
          <w:tcPr>
            <w:tcW w:w="1379" w:type="dxa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bookmarkStart w:id="5" w:name="专业代码"/>
            <w:r>
              <w:rPr>
                <w:b/>
                <w:sz w:val="20"/>
              </w:rPr>
              <w:t>Q：19.05.01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O：19.05.01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E：19.05.01</w:t>
            </w:r>
            <w:bookmarkEnd w:id="5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2249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教师姓名</w:t>
            </w:r>
          </w:p>
        </w:tc>
        <w:tc>
          <w:tcPr>
            <w:tcW w:w="1828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李俐</w:t>
            </w:r>
          </w:p>
        </w:tc>
        <w:tc>
          <w:tcPr>
            <w:tcW w:w="1520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</w:t>
            </w:r>
          </w:p>
        </w:tc>
        <w:tc>
          <w:tcPr>
            <w:tcW w:w="1430" w:type="dxa"/>
            <w:vAlign w:val="center"/>
          </w:tcPr>
          <w:p>
            <w:pPr>
              <w:snapToGrid w:val="0"/>
              <w:spacing w:line="280" w:lineRule="exact"/>
              <w:ind w:left="5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Q：19.05.01</w:t>
            </w:r>
          </w:p>
          <w:p>
            <w:pPr>
              <w:snapToGrid w:val="0"/>
              <w:spacing w:line="280" w:lineRule="exact"/>
              <w:ind w:left="5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O：19.05.01</w:t>
            </w:r>
          </w:p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E：19.05.01</w:t>
            </w:r>
          </w:p>
        </w:tc>
        <w:tc>
          <w:tcPr>
            <w:tcW w:w="2267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培训地点</w:t>
            </w:r>
          </w:p>
        </w:tc>
        <w:tc>
          <w:tcPr>
            <w:tcW w:w="1379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远程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90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受培训人员</w:t>
            </w:r>
          </w:p>
        </w:tc>
        <w:tc>
          <w:tcPr>
            <w:tcW w:w="1340" w:type="dxa"/>
            <w:vAlign w:val="center"/>
          </w:tcPr>
          <w:p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姓名</w:t>
            </w:r>
          </w:p>
        </w:tc>
        <w:tc>
          <w:tcPr>
            <w:tcW w:w="182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宋明珠</w:t>
            </w:r>
          </w:p>
        </w:tc>
        <w:tc>
          <w:tcPr>
            <w:tcW w:w="152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郭力</w:t>
            </w:r>
          </w:p>
        </w:tc>
        <w:tc>
          <w:tcPr>
            <w:tcW w:w="143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强兴</w:t>
            </w:r>
          </w:p>
        </w:tc>
        <w:tc>
          <w:tcPr>
            <w:tcW w:w="226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0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40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专业代码</w:t>
            </w:r>
          </w:p>
        </w:tc>
        <w:tc>
          <w:tcPr>
            <w:tcW w:w="182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2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0" w:type="dxa"/>
            <w:vAlign w:val="center"/>
          </w:tcPr>
          <w:p>
            <w:pPr>
              <w:snapToGrid w:val="0"/>
              <w:spacing w:line="280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Q：19.05.01</w:t>
            </w:r>
          </w:p>
          <w:p>
            <w:pPr>
              <w:snapToGrid w:val="0"/>
              <w:spacing w:line="360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E：19.05.01</w:t>
            </w:r>
          </w:p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226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8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生产工艺</w:t>
            </w:r>
            <w:r>
              <w:rPr>
                <w:b/>
                <w:sz w:val="20"/>
              </w:rPr>
              <w:t>/</w:t>
            </w:r>
          </w:p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服务过程</w:t>
            </w:r>
          </w:p>
        </w:tc>
        <w:tc>
          <w:tcPr>
            <w:tcW w:w="8424" w:type="dxa"/>
            <w:gridSpan w:val="5"/>
            <w:vAlign w:val="center"/>
          </w:tcPr>
          <w:p>
            <w:pPr>
              <w:snapToGrid w:val="0"/>
              <w:spacing w:line="280" w:lineRule="exac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原材料（含外包主板加工）—锡焊天线、电容—安装电池及底座—安装上翻盖—安装电子装置—功能检测—密封上盖——成品检查—上防拆帽、打铅封、贴合格证—入库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5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生产过程</w:t>
            </w:r>
            <w:r>
              <w:rPr>
                <w:b/>
                <w:sz w:val="20"/>
              </w:rPr>
              <w:t>/</w:t>
            </w:r>
            <w:r>
              <w:rPr>
                <w:rFonts w:hint="eastAsia"/>
                <w:b/>
                <w:sz w:val="20"/>
              </w:rPr>
              <w:t>服务过程</w:t>
            </w:r>
          </w:p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的风险及控制措施</w:t>
            </w:r>
          </w:p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特殊过程的控制</w:t>
            </w:r>
            <w:r>
              <w:rPr>
                <w:b/>
                <w:sz w:val="20"/>
              </w:rPr>
              <w:t>/</w:t>
            </w:r>
          </w:p>
          <w:p>
            <w:pPr>
              <w:snapToGrid w:val="0"/>
              <w:spacing w:line="280" w:lineRule="exact"/>
              <w:jc w:val="left"/>
              <w:rPr>
                <w:b/>
              </w:rPr>
            </w:pPr>
          </w:p>
        </w:tc>
        <w:tc>
          <w:tcPr>
            <w:tcW w:w="8424" w:type="dxa"/>
            <w:gridSpan w:val="5"/>
            <w:vAlign w:val="center"/>
          </w:tcPr>
          <w:p>
            <w:pPr>
              <w:snapToGrid w:val="0"/>
              <w:spacing w:line="280" w:lineRule="exact"/>
              <w:rPr>
                <w:rFonts w:hint="eastAsia"/>
                <w:b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280" w:lineRule="exact"/>
              <w:rPr>
                <w:rFonts w:hint="eastAsia"/>
                <w:b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2"/>
                <w:lang w:val="en-US" w:eastAsia="zh-CN"/>
              </w:rPr>
              <w:t>生产过程风险：生产任务未按时完成、设备故障、工人操作不当。</w:t>
            </w:r>
          </w:p>
          <w:p>
            <w:pPr>
              <w:snapToGrid w:val="0"/>
              <w:spacing w:line="280" w:lineRule="exact"/>
              <w:rPr>
                <w:rFonts w:hint="eastAsia"/>
                <w:b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2"/>
                <w:lang w:val="en-US" w:eastAsia="zh-CN"/>
              </w:rPr>
              <w:t>控制措施：生产和服务控制程序、设备操作规程、作业指导书；</w:t>
            </w:r>
          </w:p>
          <w:p>
            <w:pPr>
              <w:snapToGrid w:val="0"/>
              <w:spacing w:line="280" w:lineRule="exact"/>
              <w:rPr>
                <w:rFonts w:hint="eastAsia"/>
                <w:b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2"/>
                <w:lang w:val="en-US" w:eastAsia="zh-CN"/>
              </w:rPr>
              <w:t>特殊过程：焊接，对从人员、设备、工艺等方面进行确认。</w:t>
            </w:r>
          </w:p>
          <w:p>
            <w:pPr>
              <w:snapToGrid w:val="0"/>
              <w:spacing w:line="280" w:lineRule="exact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6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重要环境及控制措施</w:t>
            </w:r>
          </w:p>
        </w:tc>
        <w:tc>
          <w:tcPr>
            <w:tcW w:w="8424" w:type="dxa"/>
            <w:gridSpan w:val="5"/>
            <w:vAlign w:val="center"/>
          </w:tcPr>
          <w:p>
            <w:pPr>
              <w:snapToGrid w:val="0"/>
              <w:spacing w:line="280" w:lineRule="exact"/>
              <w:rPr>
                <w:rFonts w:hint="eastAsia" w:ascii="Times New Roman" w:hAnsi="Times New Roman" w:cs="Times New Roman"/>
                <w:b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0"/>
                <w:szCs w:val="22"/>
                <w:lang w:val="en-US" w:eastAsia="zh-CN"/>
              </w:rPr>
              <w:t>重要环境因素：废气的排放、固体废弃物排放、噪声排放、火灾的发生，</w:t>
            </w:r>
          </w:p>
          <w:p>
            <w:pPr>
              <w:snapToGrid w:val="0"/>
              <w:spacing w:line="280" w:lineRule="exact"/>
              <w:rPr>
                <w:rFonts w:hint="eastAsia" w:ascii="Times New Roman" w:hAnsi="Times New Roman" w:cs="Times New Roman"/>
                <w:b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0"/>
                <w:szCs w:val="22"/>
                <w:lang w:val="en-US" w:eastAsia="zh-CN"/>
              </w:rPr>
              <w:t>控制措施：环境因素的识别与评价控制程序、环境与职业健康安全运行控制程序、</w:t>
            </w:r>
          </w:p>
          <w:p>
            <w:pPr>
              <w:snapToGrid w:val="0"/>
              <w:spacing w:line="280" w:lineRule="exact"/>
              <w:rPr>
                <w:b/>
                <w:sz w:val="20"/>
              </w:rPr>
            </w:pPr>
            <w:r>
              <w:rPr>
                <w:rFonts w:hint="eastAsia" w:ascii="Times New Roman" w:hAnsi="Times New Roman" w:cs="Times New Roman"/>
                <w:b/>
                <w:sz w:val="20"/>
                <w:szCs w:val="22"/>
                <w:lang w:val="en-US" w:eastAsia="zh-CN"/>
              </w:rPr>
              <w:t>应急准备和响应控制程序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不可接受风险的危险源及控制措施</w:t>
            </w:r>
          </w:p>
        </w:tc>
        <w:tc>
          <w:tcPr>
            <w:tcW w:w="8424" w:type="dxa"/>
            <w:gridSpan w:val="5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 xml:space="preserve">重大危险源：人身伤害、触电、火灾； </w:t>
            </w:r>
          </w:p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控制措施：目标指标和管理方案、管理规定、运行控制、应急预案、检查控制、教育培训。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</w:rPr>
            </w:pPr>
            <w:r>
              <w:rPr>
                <w:rFonts w:hint="eastAsia"/>
                <w:b/>
                <w:sz w:val="20"/>
              </w:rPr>
              <w:t>相关法律法规的要求及产品标准</w:t>
            </w:r>
          </w:p>
        </w:tc>
        <w:tc>
          <w:tcPr>
            <w:tcW w:w="8424" w:type="dxa"/>
            <w:gridSpan w:val="5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eastAsia="宋体"/>
                <w:b/>
                <w:sz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2"/>
                <w:lang w:eastAsia="zh-CN"/>
              </w:rPr>
              <w:t>质量法、合同法、环境保护法、劳动法、消防法、</w:t>
            </w:r>
            <w:r>
              <w:rPr>
                <w:rFonts w:hint="eastAsia" w:ascii="Times New Roman" w:hAnsi="Times New Roman" w:cs="Times New Roman"/>
                <w:b/>
                <w:sz w:val="20"/>
                <w:szCs w:val="22"/>
                <w:lang w:eastAsia="zh-CN"/>
              </w:rPr>
              <w:t>安全生产法、</w:t>
            </w:r>
            <w:r>
              <w:rPr>
                <w:rFonts w:hint="eastAsia" w:ascii="Times New Roman" w:hAnsi="Times New Roman" w:cs="Times New Roman"/>
                <w:b/>
                <w:sz w:val="20"/>
                <w:szCs w:val="22"/>
              </w:rPr>
              <w:t>GB T 778.1-2018</w:t>
            </w:r>
            <w:r>
              <w:rPr>
                <w:rFonts w:hint="eastAsia" w:ascii="Times New Roman" w:hAnsi="Times New Roman" w:cs="Times New Roman"/>
                <w:b/>
                <w:sz w:val="20"/>
                <w:szCs w:val="22"/>
                <w:lang w:eastAsia="zh-CN"/>
              </w:rPr>
              <w:t>《</w:t>
            </w:r>
            <w:r>
              <w:rPr>
                <w:rFonts w:hint="eastAsia" w:ascii="Times New Roman" w:hAnsi="Times New Roman" w:cs="Times New Roman"/>
                <w:b/>
                <w:sz w:val="20"/>
                <w:szCs w:val="22"/>
              </w:rPr>
              <w:t>饮用冷水水表和热水水表</w:t>
            </w:r>
            <w:r>
              <w:rPr>
                <w:rFonts w:hint="eastAsia" w:ascii="Times New Roman" w:hAnsi="Times New Roman" w:cs="Times New Roman"/>
                <w:b/>
                <w:sz w:val="20"/>
                <w:szCs w:val="22"/>
                <w:lang w:eastAsia="zh-CN"/>
              </w:rPr>
              <w:t>》、JJG 162-2019《饮用冷水水表检定规程》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8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14"/>
                <w:szCs w:val="14"/>
              </w:rPr>
            </w:pPr>
            <w:r>
              <w:rPr>
                <w:rFonts w:hint="eastAsia"/>
                <w:b/>
                <w:sz w:val="20"/>
              </w:rPr>
              <w:t>检验和试验项目及要求</w:t>
            </w:r>
            <w:r>
              <w:rPr>
                <w:b/>
                <w:sz w:val="20"/>
              </w:rPr>
              <w:t>(</w:t>
            </w:r>
            <w:r>
              <w:rPr>
                <w:rFonts w:hint="eastAsia"/>
                <w:b/>
                <w:sz w:val="20"/>
              </w:rPr>
              <w:t>如有型式试验要求</w:t>
            </w:r>
            <w:r>
              <w:rPr>
                <w:b/>
                <w:sz w:val="20"/>
              </w:rPr>
              <w:t>,</w:t>
            </w:r>
            <w:r>
              <w:rPr>
                <w:rFonts w:hint="eastAsia"/>
                <w:b/>
                <w:sz w:val="20"/>
              </w:rPr>
              <w:t>要进行说明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8424" w:type="dxa"/>
            <w:gridSpan w:val="5"/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 w:ascii="Times New Roman" w:hAnsi="Times New Roman" w:cs="Times New Roman"/>
                <w:b/>
                <w:sz w:val="20"/>
                <w:szCs w:val="22"/>
                <w:lang w:val="en-US" w:eastAsia="zh-CN"/>
              </w:rPr>
              <w:t>外观、尺寸、零部件、水表精度等，符合</w:t>
            </w:r>
            <w:r>
              <w:rPr>
                <w:rFonts w:hint="eastAsia" w:ascii="Times New Roman" w:hAnsi="Times New Roman" w:cs="Times New Roman"/>
                <w:b/>
                <w:sz w:val="20"/>
                <w:szCs w:val="22"/>
                <w:lang w:eastAsia="zh-CN"/>
              </w:rPr>
              <w:t>GB T 778.1-2018《饮用冷水水表和热水水表》、JJG 162-2019《饮用冷水水表检定规程</w:t>
            </w:r>
            <w:r>
              <w:rPr>
                <w:rFonts w:hint="eastAsia" w:ascii="Times New Roman" w:hAnsi="Times New Roman" w:cs="Times New Roman"/>
                <w:b/>
                <w:sz w:val="20"/>
                <w:szCs w:val="22"/>
                <w:lang w:val="en-US" w:eastAsia="zh-CN"/>
              </w:rPr>
              <w:t>要求</w:t>
            </w:r>
            <w:r>
              <w:rPr>
                <w:rFonts w:hint="eastAsia" w:ascii="Times New Roman" w:hAnsi="Times New Roman" w:cs="Times New Roman"/>
                <w:b/>
                <w:sz w:val="20"/>
                <w:szCs w:val="22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20"/>
              </w:rPr>
              <w:t>其它相关知识</w:t>
            </w:r>
          </w:p>
        </w:tc>
        <w:tc>
          <w:tcPr>
            <w:tcW w:w="8424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ind w:firstLine="602" w:firstLineChars="300"/>
              <w:jc w:val="both"/>
              <w:rPr>
                <w:rFonts w:hint="default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审核技巧</w:t>
            </w:r>
          </w:p>
        </w:tc>
      </w:tr>
    </w:tbl>
    <w:p>
      <w:pPr>
        <w:snapToGrid w:val="0"/>
        <w:rPr>
          <w:rFonts w:ascii="宋体"/>
          <w:b/>
          <w:sz w:val="22"/>
          <w:szCs w:val="22"/>
        </w:rPr>
      </w:pPr>
    </w:p>
    <w:p>
      <w:pPr>
        <w:snapToGrid w:val="0"/>
        <w:rPr>
          <w:rFonts w:hint="eastAsia" w:ascii="宋体"/>
          <w:b/>
          <w:spacing w:val="-6"/>
          <w:sz w:val="21"/>
          <w:szCs w:val="21"/>
        </w:rPr>
      </w:pPr>
      <w:r>
        <w:rPr>
          <w:rFonts w:hint="eastAsia" w:ascii="宋体"/>
          <w:b/>
          <w:sz w:val="22"/>
          <w:szCs w:val="22"/>
        </w:rPr>
        <w:t>填表人</w:t>
      </w:r>
      <w:r>
        <w:rPr>
          <w:rFonts w:ascii="宋体"/>
          <w:b/>
          <w:sz w:val="22"/>
          <w:szCs w:val="22"/>
        </w:rPr>
        <w:t>(</w:t>
      </w:r>
      <w:r>
        <w:rPr>
          <w:rFonts w:hint="eastAsia" w:ascii="宋体"/>
          <w:b/>
          <w:sz w:val="22"/>
          <w:szCs w:val="22"/>
        </w:rPr>
        <w:t>专业人员</w:t>
      </w:r>
      <w:r>
        <w:rPr>
          <w:rFonts w:ascii="宋体"/>
          <w:b/>
          <w:sz w:val="22"/>
          <w:szCs w:val="22"/>
        </w:rPr>
        <w:t>)</w:t>
      </w:r>
      <w:r>
        <w:rPr>
          <w:rFonts w:hint="eastAsia" w:ascii="宋体"/>
          <w:b/>
          <w:sz w:val="18"/>
          <w:szCs w:val="18"/>
        </w:rPr>
        <w:t xml:space="preserve">： </w:t>
      </w:r>
      <w:r>
        <w:rPr>
          <w:rFonts w:hint="eastAsia" w:ascii="宋体"/>
          <w:b/>
          <w:sz w:val="18"/>
          <w:szCs w:val="18"/>
          <w:lang w:val="en-US" w:eastAsia="zh-CN"/>
        </w:rPr>
        <w:t>李俐</w:t>
      </w:r>
      <w:r>
        <w:rPr>
          <w:rFonts w:hint="eastAsia" w:ascii="宋体"/>
          <w:b/>
          <w:sz w:val="18"/>
          <w:szCs w:val="18"/>
        </w:rPr>
        <w:t xml:space="preserve">   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 xml:space="preserve">： </w:t>
      </w:r>
      <w:r>
        <w:rPr>
          <w:rFonts w:hint="eastAsia"/>
          <w:b/>
          <w:sz w:val="18"/>
          <w:szCs w:val="18"/>
          <w:lang w:val="en-US" w:eastAsia="zh-CN"/>
        </w:rPr>
        <w:t>2020.7.10</w:t>
      </w:r>
      <w:r>
        <w:rPr>
          <w:rFonts w:hint="eastAsia"/>
          <w:b/>
          <w:sz w:val="18"/>
          <w:szCs w:val="18"/>
        </w:rPr>
        <w:t xml:space="preserve">                </w:t>
      </w:r>
      <w:r>
        <w:rPr>
          <w:rFonts w:hint="eastAsia" w:ascii="宋体"/>
          <w:b/>
          <w:sz w:val="22"/>
          <w:szCs w:val="22"/>
        </w:rPr>
        <w:t>审核组长</w:t>
      </w:r>
      <w:r>
        <w:rPr>
          <w:rFonts w:hint="eastAsia" w:ascii="宋体"/>
          <w:b/>
          <w:sz w:val="18"/>
          <w:szCs w:val="18"/>
        </w:rPr>
        <w:t>：</w:t>
      </w:r>
      <w:r>
        <w:rPr>
          <w:rFonts w:hint="eastAsia" w:ascii="宋体"/>
          <w:b/>
          <w:sz w:val="18"/>
          <w:szCs w:val="18"/>
          <w:lang w:val="en-US" w:eastAsia="zh-CN"/>
        </w:rPr>
        <w:t>李俐</w:t>
      </w:r>
      <w:r>
        <w:rPr>
          <w:rFonts w:hint="eastAsia" w:ascii="宋体"/>
          <w:b/>
          <w:sz w:val="18"/>
          <w:szCs w:val="18"/>
        </w:rPr>
        <w:t xml:space="preserve">     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 xml:space="preserve">： </w:t>
      </w:r>
      <w:r>
        <w:rPr>
          <w:rFonts w:hint="eastAsia"/>
          <w:b/>
          <w:sz w:val="18"/>
          <w:szCs w:val="18"/>
          <w:lang w:val="en-US" w:eastAsia="zh-CN"/>
        </w:rPr>
        <w:t>2020.7.10</w:t>
      </w:r>
      <w:r>
        <w:rPr>
          <w:rFonts w:hint="eastAsia"/>
          <w:b/>
          <w:sz w:val="18"/>
          <w:szCs w:val="18"/>
        </w:rPr>
        <w:t xml:space="preserve">  </w:t>
      </w:r>
      <w:bookmarkStart w:id="6" w:name="_GoBack"/>
      <w:bookmarkEnd w:id="6"/>
    </w:p>
    <w:sectPr>
      <w:headerReference r:id="rId3" w:type="default"/>
      <w:pgSz w:w="11906" w:h="16838"/>
      <w:pgMar w:top="1134" w:right="1077" w:bottom="1134" w:left="1077" w:header="561" w:footer="482" w:gutter="0"/>
      <w:cols w:space="425" w:num="1"/>
      <w:docGrid w:linePitch="326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98" w:leftChars="-41" w:firstLine="810" w:firstLineChars="450"/>
      <w:jc w:val="left"/>
      <w:rPr>
        <w:rStyle w:val="14"/>
        <w:rFonts w:hint="default"/>
      </w:rPr>
    </w:pPr>
    <w:r>
      <w:pict>
        <v:shape id="图片 24" o:spid="_x0000_s4097" o:spt="75" type="#_x0000_t75" style="position:absolute;left:0pt;margin-left:-0.05pt;margin-top:0.35pt;height:34.1pt;width:32.3pt;mso-wrap-distance-left:9pt;mso-wrap-distance-right:9pt;z-index:-251658240;mso-width-relative:page;mso-height-relative:page;" filled="f" o:preferrelative="t" stroked="f" coordsize="21600,21600" wrapcoords="21592 -2 0 0 0 21600 21592 21602 8 21602 21600 21600 21600 0 8 -2 21592 -2">
          <v:path/>
          <v:fill on="f" focussize="0,0"/>
          <v:stroke on="f" joinstyle="miter"/>
          <v:imagedata r:id="rId1" o:title=""/>
          <o:lock v:ext="edit" aspectratio="t"/>
          <w10:wrap type="tight"/>
        </v:shape>
      </w:pict>
    </w:r>
    <w:r>
      <w:rPr>
        <w:rStyle w:val="14"/>
        <w:rFonts w:hint="default"/>
      </w:rPr>
      <w:t>北京国标联合认证有限公司</w:t>
    </w:r>
    <w:r>
      <w:rPr>
        <w:rStyle w:val="14"/>
        <w:rFonts w:hint="default"/>
      </w:rPr>
      <w:tab/>
    </w:r>
    <w:r>
      <w:rPr>
        <w:rStyle w:val="14"/>
        <w:rFonts w:hint="default"/>
      </w:rPr>
      <w:tab/>
    </w:r>
    <w:r>
      <w:rPr>
        <w:rStyle w:val="14"/>
        <w:rFonts w:hint="default"/>
      </w:rPr>
      <w:tab/>
    </w:r>
  </w:p>
  <w:p>
    <w:pPr>
      <w:pStyle w:val="7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文本框 1" o:spid="_x0000_s4098" o:spt="202" type="#_x0000_t202" style="position:absolute;left:0pt;margin-left:325.25pt;margin-top:2.2pt;height:20.2pt;width:159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ind w:firstLine="360" w:firstLineChars="200"/>
                  <w:rPr>
                    <w:sz w:val="18"/>
                    <w:szCs w:val="18"/>
                  </w:rPr>
                </w:pPr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-I-0</w:t>
                </w:r>
                <w:r>
                  <w:rPr>
                    <w:sz w:val="18"/>
                    <w:szCs w:val="18"/>
                  </w:rPr>
                  <w:t>6</w:t>
                </w:r>
                <w:r>
                  <w:rPr>
                    <w:rFonts w:hint="eastAsia"/>
                    <w:sz w:val="18"/>
                    <w:szCs w:val="18"/>
                  </w:rPr>
                  <w:t>专业培训记录(03版)</w:t>
                </w:r>
              </w:p>
            </w:txbxContent>
          </v:textbox>
        </v:shape>
      </w:pict>
    </w:r>
    <w:r>
      <w:rPr>
        <w:rStyle w:val="14"/>
        <w:rFonts w:hint="default"/>
        <w:w w:val="90"/>
      </w:rPr>
      <w:t>Beijing International Standard united Certification Co.,Ltd.</w:t>
    </w:r>
  </w:p>
  <w:p>
    <w:pPr>
      <w:pStyle w:val="7"/>
    </w:pPr>
  </w:p>
  <w:p>
    <w:pPr>
      <w:tabs>
        <w:tab w:val="left" w:pos="9245"/>
      </w:tabs>
      <w:wordWrap w:val="0"/>
      <w:ind w:right="64" w:firstLine="4600" w:firstLineChars="2300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NotTrackMoves/>
  <w:documentProtection w:enforcement="0"/>
  <w:defaultTabStop w:val="420"/>
  <w:drawingGridHorizontalSpacing w:val="108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31667DD0"/>
    <w:rsid w:val="4FC65797"/>
    <w:rsid w:val="7E3027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6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1"/>
    <w:basedOn w:val="1"/>
    <w:next w:val="1"/>
    <w:qFormat/>
    <w:locked/>
    <w:uiPriority w:val="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sz w:val="48"/>
      <w:szCs w:val="48"/>
      <w:lang w:bidi="ar"/>
    </w:rPr>
  </w:style>
  <w:style w:type="paragraph" w:styleId="4">
    <w:name w:val="heading 3"/>
    <w:basedOn w:val="1"/>
    <w:next w:val="1"/>
    <w:semiHidden/>
    <w:unhideWhenUsed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0"/>
        <w:tab w:val="left" w:pos="180"/>
      </w:tabs>
      <w:spacing w:line="360" w:lineRule="auto"/>
      <w:jc w:val="left"/>
    </w:pPr>
    <w:rPr>
      <w:sz w:val="28"/>
    </w:r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basedOn w:val="9"/>
    <w:qFormat/>
    <w:locked/>
    <w:uiPriority w:val="0"/>
    <w:rPr>
      <w:b/>
    </w:rPr>
  </w:style>
  <w:style w:type="character" w:customStyle="1" w:styleId="11">
    <w:name w:val="页脚 字符"/>
    <w:link w:val="6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link w:val="7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link w:val="5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14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47</Words>
  <Characters>268</Characters>
  <Lines>2</Lines>
  <Paragraphs>1</Paragraphs>
  <TotalTime>1</TotalTime>
  <ScaleCrop>false</ScaleCrop>
  <LinksUpToDate>false</LinksUpToDate>
  <CharactersWithSpaces>314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2015-06-17T11:40:00Z</dcterms:created>
  <dc:creator>微软用户</dc:creator>
  <cp:lastModifiedBy>LIL</cp:lastModifiedBy>
  <dcterms:modified xsi:type="dcterms:W3CDTF">2020-07-19T13:56:04Z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